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AC3" w:rsidRDefault="004D2AC3" w:rsidP="004D2AC3">
      <w:pPr>
        <w:adjustRightInd w:val="0"/>
        <w:snapToGrid w:val="0"/>
        <w:spacing w:line="570" w:lineRule="exact"/>
        <w:rPr>
          <w:rFonts w:eastAsia="方正小标宋简体"/>
          <w:bCs/>
          <w:snapToGrid w:val="0"/>
          <w:kern w:val="0"/>
          <w:sz w:val="44"/>
          <w:szCs w:val="44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2</w:t>
      </w:r>
    </w:p>
    <w:p w:rsidR="004D2AC3" w:rsidRDefault="004D2AC3" w:rsidP="004D2AC3">
      <w:pPr>
        <w:adjustRightInd w:val="0"/>
        <w:snapToGrid w:val="0"/>
        <w:spacing w:line="570" w:lineRule="exact"/>
        <w:jc w:val="center"/>
        <w:rPr>
          <w:rFonts w:eastAsia="方正小标宋简体"/>
          <w:bCs/>
          <w:snapToGrid w:val="0"/>
          <w:kern w:val="0"/>
          <w:sz w:val="44"/>
          <w:szCs w:val="44"/>
        </w:rPr>
      </w:pPr>
      <w:r>
        <w:rPr>
          <w:rFonts w:eastAsia="方正小标宋简体"/>
          <w:bCs/>
          <w:snapToGrid w:val="0"/>
          <w:kern w:val="0"/>
          <w:sz w:val="44"/>
          <w:szCs w:val="44"/>
        </w:rPr>
        <w:t>202</w:t>
      </w:r>
      <w:r>
        <w:rPr>
          <w:rFonts w:eastAsia="方正小标宋简体" w:hint="eastAsia"/>
          <w:bCs/>
          <w:snapToGrid w:val="0"/>
          <w:kern w:val="0"/>
          <w:sz w:val="44"/>
          <w:szCs w:val="44"/>
        </w:rPr>
        <w:t>5</w:t>
      </w:r>
      <w:r>
        <w:rPr>
          <w:rFonts w:eastAsia="方正小标宋简体"/>
          <w:bCs/>
          <w:snapToGrid w:val="0"/>
          <w:kern w:val="0"/>
          <w:sz w:val="44"/>
          <w:szCs w:val="44"/>
        </w:rPr>
        <w:t>年度上海学校共青团工作研究</w:t>
      </w:r>
    </w:p>
    <w:p w:rsidR="004D2AC3" w:rsidRDefault="004D2AC3" w:rsidP="004D2AC3">
      <w:pPr>
        <w:adjustRightInd w:val="0"/>
        <w:snapToGrid w:val="0"/>
        <w:spacing w:line="570" w:lineRule="exact"/>
        <w:jc w:val="center"/>
        <w:rPr>
          <w:rFonts w:eastAsia="方正小标宋简体"/>
          <w:bCs/>
          <w:snapToGrid w:val="0"/>
          <w:kern w:val="0"/>
          <w:sz w:val="44"/>
          <w:szCs w:val="44"/>
        </w:rPr>
      </w:pPr>
      <w:r>
        <w:rPr>
          <w:rFonts w:eastAsia="方正小标宋简体"/>
          <w:bCs/>
          <w:snapToGrid w:val="0"/>
          <w:kern w:val="0"/>
          <w:sz w:val="44"/>
          <w:szCs w:val="44"/>
        </w:rPr>
        <w:t>参考选题</w:t>
      </w:r>
    </w:p>
    <w:p w:rsidR="004D2AC3" w:rsidRDefault="004D2AC3" w:rsidP="004D2AC3">
      <w:pPr>
        <w:pStyle w:val="a5"/>
        <w:adjustRightInd w:val="0"/>
        <w:snapToGrid w:val="0"/>
        <w:spacing w:line="570" w:lineRule="exact"/>
        <w:ind w:firstLine="640"/>
        <w:rPr>
          <w:rFonts w:eastAsia="仿宋_GB2312"/>
          <w:kern w:val="0"/>
          <w:sz w:val="32"/>
          <w:szCs w:val="32"/>
        </w:rPr>
      </w:pP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Cs/>
          <w:snapToGrid w:val="0"/>
          <w:kern w:val="0"/>
          <w:sz w:val="32"/>
          <w:szCs w:val="32"/>
        </w:rPr>
        <w:t>中国共产党理论武装青年的历史传统与创新路径研究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Cs/>
          <w:snapToGrid w:val="0"/>
          <w:kern w:val="0"/>
          <w:sz w:val="32"/>
          <w:szCs w:val="32"/>
        </w:rPr>
        <w:t>加强青少年爱国主义法治教育的有效路径研究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青年理想信念教育的路径探索与创新</w:t>
      </w:r>
      <w:r>
        <w:rPr>
          <w:rFonts w:eastAsia="仿宋_GB2312" w:hint="eastAsia"/>
          <w:sz w:val="32"/>
          <w:szCs w:val="32"/>
        </w:rPr>
        <w:t>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Cs/>
          <w:snapToGrid w:val="0"/>
          <w:kern w:val="0"/>
          <w:sz w:val="32"/>
          <w:szCs w:val="32"/>
        </w:rPr>
        <w:t>推动共青团高质量参与思政课实践教学研究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bCs/>
          <w:snapToGrid w:val="0"/>
          <w:kern w:val="0"/>
          <w:sz w:val="32"/>
          <w:szCs w:val="32"/>
        </w:rPr>
        <w:t>加强青年学生理论学习与思想引领的有效路径研究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青年理想信念教育与“第二个结合”的深度融合研究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7.</w:t>
      </w:r>
      <w:r>
        <w:rPr>
          <w:rFonts w:eastAsia="仿宋_GB2312"/>
          <w:bCs/>
          <w:snapToGrid w:val="0"/>
          <w:kern w:val="0"/>
          <w:sz w:val="32"/>
          <w:szCs w:val="32"/>
        </w:rPr>
        <w:t>共青团协同加强青年思政课教师队伍建设机制和策略研究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bCs/>
          <w:snapToGrid w:val="0"/>
          <w:kern w:val="0"/>
          <w:sz w:val="32"/>
          <w:szCs w:val="32"/>
        </w:rPr>
        <w:t>面向青年阐释党的创新理论基本问题研究</w:t>
      </w:r>
    </w:p>
    <w:p w:rsidR="004D2AC3" w:rsidRDefault="004D2AC3" w:rsidP="004D2AC3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sz w:val="32"/>
          <w:szCs w:val="32"/>
        </w:rPr>
        <w:t>志愿实践活动与青年理想信念培育教育融合研究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10.00</w:t>
      </w:r>
      <w:r>
        <w:rPr>
          <w:rFonts w:ascii="仿宋_GB2312" w:eastAsia="仿宋_GB2312" w:hAnsi="仿宋_GB2312" w:cs="仿宋_GB2312" w:hint="eastAsia"/>
          <w:bCs/>
          <w:snapToGrid w:val="0"/>
          <w:kern w:val="0"/>
          <w:sz w:val="32"/>
          <w:szCs w:val="32"/>
        </w:rPr>
        <w:t>后青年思想政治引领的特征和机理研究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11.</w:t>
      </w:r>
      <w:r>
        <w:rPr>
          <w:rFonts w:eastAsia="仿宋_GB2312"/>
          <w:sz w:val="32"/>
          <w:szCs w:val="32"/>
        </w:rPr>
        <w:t>培养爱党爱国爱社会主义相统一的青年</w:t>
      </w:r>
      <w:r>
        <w:rPr>
          <w:rFonts w:eastAsia="仿宋_GB2312" w:hint="eastAsia"/>
          <w:sz w:val="32"/>
          <w:szCs w:val="32"/>
        </w:rPr>
        <w:t>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12.</w:t>
      </w:r>
      <w:r>
        <w:rPr>
          <w:rFonts w:eastAsia="仿宋_GB2312"/>
          <w:sz w:val="32"/>
          <w:szCs w:val="32"/>
        </w:rPr>
        <w:t>校园文化与青年爱国主义教育相互促进的路径研究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13.</w:t>
      </w:r>
      <w:r>
        <w:rPr>
          <w:rFonts w:eastAsia="仿宋_GB2312"/>
          <w:sz w:val="32"/>
          <w:szCs w:val="32"/>
        </w:rPr>
        <w:t>新媒体平台在青年爱国主义教育中的创新应用研究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14.</w:t>
      </w:r>
      <w:r>
        <w:rPr>
          <w:rFonts w:eastAsia="仿宋_GB2312"/>
          <w:bCs/>
          <w:snapToGrid w:val="0"/>
          <w:kern w:val="0"/>
          <w:sz w:val="32"/>
          <w:szCs w:val="32"/>
        </w:rPr>
        <w:t>党团队一体化建设的理论与实践路径研究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15.</w:t>
      </w:r>
      <w:r>
        <w:rPr>
          <w:rFonts w:eastAsia="仿宋_GB2312"/>
          <w:bCs/>
          <w:snapToGrid w:val="0"/>
          <w:kern w:val="0"/>
          <w:sz w:val="32"/>
          <w:szCs w:val="32"/>
        </w:rPr>
        <w:t>当前影响青年的主要网络思潮及其引领策略研究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16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/>
          <w:bCs/>
          <w:snapToGrid w:val="0"/>
          <w:kern w:val="0"/>
          <w:sz w:val="32"/>
          <w:szCs w:val="32"/>
        </w:rPr>
        <w:t>铸牢青少年中华民族共同体意识的教育路径研究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17.</w:t>
      </w:r>
      <w:r>
        <w:rPr>
          <w:rFonts w:eastAsia="仿宋_GB2312"/>
          <w:sz w:val="32"/>
          <w:szCs w:val="32"/>
        </w:rPr>
        <w:t>青年在中国式现代化道路上的成长轨迹研究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18.</w:t>
      </w:r>
      <w:r>
        <w:rPr>
          <w:rFonts w:ascii="仿宋_GB2312" w:eastAsia="仿宋_GB2312" w:hAnsi="仿宋_GB2312" w:cs="仿宋_GB2312" w:hint="eastAsia"/>
          <w:sz w:val="32"/>
          <w:szCs w:val="32"/>
        </w:rPr>
        <w:t>青年参与上海市“五个中心”建设研究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19.</w:t>
      </w:r>
      <w:r>
        <w:rPr>
          <w:rFonts w:eastAsia="仿宋_GB2312"/>
          <w:sz w:val="32"/>
          <w:szCs w:val="32"/>
        </w:rPr>
        <w:t>青年在高质量发展进程中的创新与实践研究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lastRenderedPageBreak/>
        <w:t>20.</w:t>
      </w:r>
      <w:r>
        <w:rPr>
          <w:rFonts w:eastAsia="仿宋_GB2312"/>
          <w:sz w:val="32"/>
          <w:szCs w:val="32"/>
        </w:rPr>
        <w:t>培养具有创新精神和实践能力的青年人才的机制与路径研究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21.</w:t>
      </w:r>
      <w:r>
        <w:rPr>
          <w:rFonts w:eastAsia="仿宋_GB2312"/>
          <w:sz w:val="32"/>
          <w:szCs w:val="32"/>
        </w:rPr>
        <w:t>青年科技创新助力乡村振兴的路径研究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22.</w:t>
      </w:r>
      <w:r>
        <w:rPr>
          <w:rFonts w:eastAsia="仿宋_GB2312"/>
          <w:sz w:val="32"/>
          <w:szCs w:val="32"/>
        </w:rPr>
        <w:t>跨学科青年科技创新团队的优势与挑战研究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23.</w:t>
      </w:r>
      <w:r>
        <w:rPr>
          <w:rFonts w:eastAsia="仿宋_GB2312"/>
          <w:sz w:val="32"/>
          <w:szCs w:val="32"/>
        </w:rPr>
        <w:t>推动青年科技成果转化与应用的研究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24.</w:t>
      </w:r>
      <w:r>
        <w:rPr>
          <w:rFonts w:eastAsia="仿宋_GB2312"/>
          <w:bCs/>
          <w:snapToGrid w:val="0"/>
          <w:kern w:val="0"/>
          <w:sz w:val="32"/>
          <w:szCs w:val="32"/>
        </w:rPr>
        <w:t>青年参与乡村振兴的路径研究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25.</w:t>
      </w:r>
      <w:r>
        <w:rPr>
          <w:rFonts w:eastAsia="仿宋_GB2312"/>
          <w:sz w:val="32"/>
          <w:szCs w:val="32"/>
        </w:rPr>
        <w:t>全过程人民民主的青年实践机制与路径研究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26.</w:t>
      </w:r>
      <w:r>
        <w:rPr>
          <w:rFonts w:eastAsia="仿宋_GB2312"/>
          <w:sz w:val="32"/>
          <w:szCs w:val="32"/>
        </w:rPr>
        <w:t>深化城镇化建设背景下青年群体的发展趋势研究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27.</w:t>
      </w:r>
      <w:r>
        <w:rPr>
          <w:rFonts w:eastAsia="仿宋_GB2312"/>
          <w:sz w:val="32"/>
          <w:szCs w:val="32"/>
        </w:rPr>
        <w:t>青年普法宣法与城市法治建设的有效衔接研究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28.</w:t>
      </w:r>
      <w:r>
        <w:rPr>
          <w:rFonts w:eastAsia="仿宋_GB2312"/>
          <w:sz w:val="32"/>
          <w:szCs w:val="32"/>
        </w:rPr>
        <w:t>激发青年对城市建设创新性与主动性的路径研究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29.</w:t>
      </w:r>
      <w:r>
        <w:rPr>
          <w:rFonts w:eastAsia="仿宋_GB2312"/>
          <w:bCs/>
          <w:snapToGrid w:val="0"/>
          <w:kern w:val="0"/>
          <w:sz w:val="32"/>
          <w:szCs w:val="32"/>
        </w:rPr>
        <w:t>青年发展型城市建设研究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30.</w:t>
      </w:r>
      <w:r>
        <w:rPr>
          <w:rFonts w:eastAsia="仿宋_GB2312"/>
          <w:bCs/>
          <w:snapToGrid w:val="0"/>
          <w:kern w:val="0"/>
          <w:sz w:val="32"/>
          <w:szCs w:val="32"/>
        </w:rPr>
        <w:t>数智条件下青年社会交往互动的状况及其治理研究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31.</w:t>
      </w:r>
      <w:r>
        <w:rPr>
          <w:rFonts w:eastAsia="仿宋_GB2312"/>
          <w:bCs/>
          <w:snapToGrid w:val="0"/>
          <w:kern w:val="0"/>
          <w:sz w:val="32"/>
          <w:szCs w:val="32"/>
        </w:rPr>
        <w:t>青年典型宣传教育的方式创新研究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32.</w:t>
      </w:r>
      <w:r>
        <w:rPr>
          <w:rFonts w:eastAsia="仿宋_GB2312"/>
          <w:bCs/>
          <w:snapToGrid w:val="0"/>
          <w:kern w:val="0"/>
          <w:sz w:val="32"/>
          <w:szCs w:val="32"/>
        </w:rPr>
        <w:t>群体性孤独现象及对策研究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33.</w:t>
      </w:r>
      <w:r>
        <w:rPr>
          <w:rFonts w:eastAsia="仿宋_GB2312"/>
          <w:bCs/>
          <w:snapToGrid w:val="0"/>
          <w:kern w:val="0"/>
          <w:sz w:val="32"/>
          <w:szCs w:val="32"/>
        </w:rPr>
        <w:t>身份政治对青年的影响研究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34.</w:t>
      </w:r>
      <w:r>
        <w:rPr>
          <w:rFonts w:eastAsia="仿宋_GB2312"/>
          <w:bCs/>
          <w:snapToGrid w:val="0"/>
          <w:kern w:val="0"/>
          <w:sz w:val="32"/>
          <w:szCs w:val="32"/>
        </w:rPr>
        <w:t>青年婚育观形成的内在逻辑与引导策略研究</w:t>
      </w:r>
    </w:p>
    <w:p w:rsidR="004D2AC3" w:rsidRDefault="004D2AC3" w:rsidP="004D2AC3">
      <w:pPr>
        <w:adjustRightInd w:val="0"/>
        <w:snapToGrid w:val="0"/>
        <w:spacing w:line="57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35.</w:t>
      </w:r>
      <w:r>
        <w:rPr>
          <w:rFonts w:eastAsia="仿宋_GB2312"/>
          <w:bCs/>
          <w:snapToGrid w:val="0"/>
          <w:kern w:val="0"/>
          <w:sz w:val="32"/>
          <w:szCs w:val="32"/>
        </w:rPr>
        <w:t>双非院系大学生就业困境与支持路径研究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36.</w:t>
      </w:r>
      <w:r>
        <w:rPr>
          <w:rFonts w:eastAsia="仿宋_GB2312"/>
          <w:sz w:val="32"/>
          <w:szCs w:val="32"/>
        </w:rPr>
        <w:t>共青团促进大学生体育运动的路径研究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37.</w:t>
      </w:r>
      <w:r>
        <w:rPr>
          <w:rFonts w:eastAsia="仿宋_GB2312"/>
          <w:sz w:val="32"/>
          <w:szCs w:val="32"/>
        </w:rPr>
        <w:t>网络治理中青年群体担任角色现状与未来研究</w:t>
      </w:r>
      <w:r>
        <w:rPr>
          <w:rFonts w:eastAsia="仿宋_GB2312"/>
          <w:sz w:val="32"/>
          <w:szCs w:val="32"/>
        </w:rPr>
        <w:t xml:space="preserve"> 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38.</w:t>
      </w:r>
      <w:r>
        <w:rPr>
          <w:rFonts w:eastAsia="仿宋_GB2312"/>
          <w:sz w:val="32"/>
          <w:szCs w:val="32"/>
        </w:rPr>
        <w:t>青年参与网络空间法治建设的创新路径与实践探索研究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39.</w:t>
      </w:r>
      <w:r>
        <w:rPr>
          <w:rFonts w:eastAsia="仿宋_GB2312"/>
          <w:sz w:val="32"/>
          <w:szCs w:val="32"/>
        </w:rPr>
        <w:t>青年网络媒介素养与网络治理能力提升路径研究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40.</w:t>
      </w:r>
      <w:r>
        <w:rPr>
          <w:rFonts w:eastAsia="仿宋_GB2312"/>
          <w:sz w:val="32"/>
          <w:szCs w:val="32"/>
        </w:rPr>
        <w:t>青年拓展全球视野加深国际理解的路径研究</w:t>
      </w:r>
    </w:p>
    <w:p w:rsidR="004D2AC3" w:rsidRDefault="004D2AC3" w:rsidP="004D2AC3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41.</w:t>
      </w:r>
      <w:r>
        <w:rPr>
          <w:rFonts w:eastAsia="仿宋_GB2312"/>
          <w:sz w:val="32"/>
          <w:szCs w:val="32"/>
        </w:rPr>
        <w:t>建设青年国际交流合作平台的机制与路径研究</w:t>
      </w:r>
    </w:p>
    <w:p w:rsidR="00C35DA6" w:rsidRPr="004D2AC3" w:rsidRDefault="00C35DA6">
      <w:bookmarkStart w:id="0" w:name="_GoBack"/>
      <w:bookmarkEnd w:id="0"/>
    </w:p>
    <w:sectPr w:rsidR="00C35DA6" w:rsidRPr="004D2A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57D" w:rsidRDefault="0066157D" w:rsidP="004D2AC3">
      <w:r>
        <w:separator/>
      </w:r>
    </w:p>
  </w:endnote>
  <w:endnote w:type="continuationSeparator" w:id="0">
    <w:p w:rsidR="0066157D" w:rsidRDefault="0066157D" w:rsidP="004D2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57D" w:rsidRDefault="0066157D" w:rsidP="004D2AC3">
      <w:r>
        <w:separator/>
      </w:r>
    </w:p>
  </w:footnote>
  <w:footnote w:type="continuationSeparator" w:id="0">
    <w:p w:rsidR="0066157D" w:rsidRDefault="0066157D" w:rsidP="004D2A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BEF"/>
    <w:rsid w:val="000E0BEF"/>
    <w:rsid w:val="004D2AC3"/>
    <w:rsid w:val="0066157D"/>
    <w:rsid w:val="00C3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EF1CCE-A7DD-48D3-9C5B-C27C1AA3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AC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A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A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AC3"/>
    <w:rPr>
      <w:sz w:val="18"/>
      <w:szCs w:val="18"/>
    </w:rPr>
  </w:style>
  <w:style w:type="paragraph" w:styleId="a5">
    <w:name w:val="List Paragraph"/>
    <w:basedOn w:val="a"/>
    <w:uiPriority w:val="99"/>
    <w:qFormat/>
    <w:rsid w:val="004D2A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2025-03-25T08:27:00Z</dcterms:created>
  <dcterms:modified xsi:type="dcterms:W3CDTF">2025-03-25T08:27:00Z</dcterms:modified>
</cp:coreProperties>
</file>